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67" w:rsidRDefault="00EA5319" w:rsidP="00EA5319">
      <w:pPr>
        <w:jc w:val="center"/>
      </w:pPr>
      <w:r w:rsidRPr="00EA5319">
        <w:rPr>
          <w:noProof/>
          <w:lang w:eastAsia="cs-CZ"/>
        </w:rPr>
        <w:drawing>
          <wp:inline distT="0" distB="0" distL="0" distR="0">
            <wp:extent cx="3241344" cy="60691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198" cy="6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319" w:rsidRDefault="00EA5319" w:rsidP="00EA5319">
      <w:pPr>
        <w:pStyle w:val="Nadpis1"/>
        <w:jc w:val="center"/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</w:pPr>
    </w:p>
    <w:p w:rsidR="00EA5319" w:rsidRPr="00CE2DAD" w:rsidRDefault="00EA5319" w:rsidP="00EA5319">
      <w:pPr>
        <w:pStyle w:val="Nadpis1"/>
        <w:jc w:val="center"/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</w:pPr>
      <w:r w:rsidRPr="00CE2DAD"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  <w:t>Projekty</w:t>
      </w:r>
    </w:p>
    <w:p w:rsidR="00EA5319" w:rsidRDefault="00EA5319" w:rsidP="00EA5319">
      <w:pPr>
        <w:pStyle w:val="Nadpis1"/>
        <w:jc w:val="center"/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</w:pPr>
      <w:r w:rsidRPr="00CE2DAD"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  <w:t>v roce 201</w:t>
      </w:r>
      <w:r>
        <w:rPr>
          <w:rFonts w:ascii="Times New Roman" w:hAnsi="Times New Roman" w:cs="Times New Roman"/>
          <w:b/>
          <w:smallCaps/>
          <w:noProof/>
          <w:color w:val="auto"/>
          <w:sz w:val="72"/>
          <w:szCs w:val="72"/>
          <w:lang w:eastAsia="cs-CZ"/>
        </w:rPr>
        <w:t>8</w:t>
      </w:r>
    </w:p>
    <w:p w:rsidR="00EA5319" w:rsidRDefault="00EA5319" w:rsidP="00EA5319">
      <w:pPr>
        <w:rPr>
          <w:lang w:eastAsia="cs-CZ"/>
        </w:rPr>
      </w:pPr>
    </w:p>
    <w:p w:rsidR="00EA5319" w:rsidRDefault="00EA5319" w:rsidP="00EA5319">
      <w:pPr>
        <w:jc w:val="center"/>
        <w:rPr>
          <w:rFonts w:ascii="Times New Roman" w:hAnsi="Times New Roman" w:cs="Times New Roman"/>
          <w:lang w:eastAsia="cs-CZ"/>
        </w:rPr>
      </w:pPr>
    </w:p>
    <w:p w:rsidR="00EA5319" w:rsidRDefault="00EA5319" w:rsidP="00EA5319">
      <w:pPr>
        <w:jc w:val="center"/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Obsahem tohoto dokumentu je přehled plánované činnosti Sdružení na podporu talentované mládeže ČR na rok 2018. Činnost Sdružení bude podle finančních možností sestávat z následujících podprojektů:</w:t>
      </w:r>
    </w:p>
    <w:p w:rsidR="00EA5319" w:rsidRPr="00EA5319" w:rsidRDefault="00EA5319" w:rsidP="00EA5319">
      <w:pPr>
        <w:jc w:val="center"/>
        <w:rPr>
          <w:rFonts w:ascii="Times New Roman" w:hAnsi="Times New Roman" w:cs="Times New Roman"/>
          <w:lang w:eastAsia="cs-CZ"/>
        </w:rPr>
      </w:pPr>
    </w:p>
    <w:p w:rsidR="00EA5319" w:rsidRDefault="00EA5319" w:rsidP="00EA5319">
      <w:pPr>
        <w:rPr>
          <w:rFonts w:ascii="Times New Roman" w:hAnsi="Times New Roman" w:cs="Times New Roman"/>
          <w:lang w:eastAsia="cs-CZ"/>
        </w:rPr>
      </w:pPr>
    </w:p>
    <w:p w:rsidR="00EA5319" w:rsidRPr="00EA5319" w:rsidRDefault="00EA5319" w:rsidP="00EA5319">
      <w:pPr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A, Celostátní přehlídka SOČ: Cena TALENT</w:t>
      </w:r>
      <w:r>
        <w:rPr>
          <w:rFonts w:ascii="Times New Roman" w:hAnsi="Times New Roman" w:cs="Times New Roman"/>
          <w:lang w:eastAsia="cs-CZ"/>
        </w:rPr>
        <w:t xml:space="preserve"> 2018</w:t>
      </w:r>
    </w:p>
    <w:p w:rsidR="00EA5319" w:rsidRPr="00EA5319" w:rsidRDefault="00EA5319" w:rsidP="00EA5319">
      <w:pPr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B, Letní soustředění vítězů SOČ II 2018</w:t>
      </w:r>
    </w:p>
    <w:p w:rsidR="00EA5319" w:rsidRPr="00EA5319" w:rsidRDefault="00EA5319" w:rsidP="00EA5319">
      <w:pPr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C, Letní škola SOČ 2018</w:t>
      </w:r>
    </w:p>
    <w:p w:rsidR="00EA5319" w:rsidRPr="00EA5319" w:rsidRDefault="00EA5319" w:rsidP="00EA5319">
      <w:pPr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D, Mezinárodní soutěže, příprava, prezentace a medializace výsledků V</w:t>
      </w:r>
    </w:p>
    <w:p w:rsidR="00EA5319" w:rsidRPr="00EA5319" w:rsidRDefault="00EA5319" w:rsidP="00EA5319">
      <w:pPr>
        <w:rPr>
          <w:rFonts w:ascii="Times New Roman" w:hAnsi="Times New Roman" w:cs="Times New Roman"/>
          <w:lang w:eastAsia="cs-CZ"/>
        </w:rPr>
      </w:pPr>
      <w:r w:rsidRPr="00EA5319">
        <w:rPr>
          <w:rFonts w:ascii="Times New Roman" w:hAnsi="Times New Roman" w:cs="Times New Roman"/>
          <w:lang w:eastAsia="cs-CZ"/>
        </w:rPr>
        <w:t>E, Zajištění celoročního chodu Sdružení</w:t>
      </w:r>
    </w:p>
    <w:p w:rsidR="00EA5319" w:rsidRPr="00EA5319" w:rsidRDefault="00EA5319" w:rsidP="00EA5319">
      <w:pPr>
        <w:jc w:val="center"/>
        <w:rPr>
          <w:lang w:eastAsia="cs-CZ"/>
        </w:rPr>
      </w:pPr>
    </w:p>
    <w:p w:rsidR="00EA5319" w:rsidRPr="00CE2DAD" w:rsidRDefault="00EA5319" w:rsidP="00EA531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Sdružení na podporu talentované mládeže České republiky, z. </w:t>
      </w:r>
      <w:proofErr w:type="gramStart"/>
      <w:r w:rsidRPr="00CE2DAD">
        <w:rPr>
          <w:rFonts w:ascii="Times New Roman" w:hAnsi="Times New Roman" w:cs="Times New Roman"/>
          <w:lang w:eastAsia="cs-CZ"/>
        </w:rPr>
        <w:t>s.</w:t>
      </w:r>
      <w:proofErr w:type="gramEnd"/>
      <w:r w:rsidRPr="00CE2DAD">
        <w:rPr>
          <w:rFonts w:ascii="Times New Roman" w:hAnsi="Times New Roman" w:cs="Times New Roman"/>
          <w:lang w:eastAsia="cs-CZ"/>
        </w:rPr>
        <w:t xml:space="preserve"> se sídlem Viniční 171, 615 00 Brno, IČ 26601567, DIČ CZ26601567 je spolkem zapsaným ve spolkovém rejstříku vedeném Krajským soudem v Brně, oddíl L, vložka 9287.</w:t>
      </w:r>
    </w:p>
    <w:p w:rsidR="00EA5319" w:rsidRDefault="00EA5319" w:rsidP="00EA5319">
      <w:pPr>
        <w:jc w:val="center"/>
        <w:rPr>
          <w:rFonts w:ascii="Times New Roman" w:hAnsi="Times New Roman" w:cs="Times New Roman"/>
        </w:rPr>
      </w:pPr>
      <w:r w:rsidRPr="00CE2DAD">
        <w:rPr>
          <w:rFonts w:ascii="Times New Roman" w:hAnsi="Times New Roman" w:cs="Times New Roman"/>
          <w:lang w:eastAsia="cs-CZ"/>
        </w:rPr>
        <w:t xml:space="preserve">www.snptm.cz • snptm@snptm.cz • </w:t>
      </w:r>
      <w:r w:rsidRPr="00CE2DAD">
        <w:rPr>
          <w:rFonts w:ascii="Times New Roman" w:hAnsi="Times New Roman" w:cs="Times New Roman"/>
        </w:rPr>
        <w:t>548 539 621 • 603 869 223</w:t>
      </w:r>
    </w:p>
    <w:p w:rsidR="00EA5319" w:rsidRDefault="00EA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6E0C" w:rsidRPr="00AD7425" w:rsidRDefault="00646E0C" w:rsidP="00646E0C">
      <w:pPr>
        <w:jc w:val="center"/>
        <w:rPr>
          <w:rFonts w:ascii="Times New Roman" w:hAnsi="Times New Roman" w:cs="Times New Roman"/>
          <w:smallCaps/>
          <w:sz w:val="60"/>
          <w:szCs w:val="60"/>
          <w:lang w:eastAsia="cs-CZ"/>
        </w:rPr>
      </w:pPr>
      <w:r w:rsidRPr="00AD7425">
        <w:rPr>
          <w:rFonts w:ascii="Times New Roman" w:hAnsi="Times New Roman" w:cs="Times New Roman"/>
          <w:smallCaps/>
          <w:sz w:val="60"/>
          <w:szCs w:val="60"/>
          <w:lang w:eastAsia="cs-CZ"/>
        </w:rPr>
        <w:lastRenderedPageBreak/>
        <w:t>Plán práce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Sdružení na podporu talentované mládeže České republiky, z. </w:t>
      </w:r>
      <w:proofErr w:type="gramStart"/>
      <w:r w:rsidRPr="00CE2DAD">
        <w:rPr>
          <w:rFonts w:ascii="Times New Roman" w:hAnsi="Times New Roman" w:cs="Times New Roman"/>
          <w:lang w:eastAsia="cs-CZ"/>
        </w:rPr>
        <w:t>s.</w:t>
      </w:r>
      <w:proofErr w:type="gramEnd"/>
      <w:r w:rsidRPr="00CE2DAD">
        <w:rPr>
          <w:rFonts w:ascii="Times New Roman" w:hAnsi="Times New Roman" w:cs="Times New Roman"/>
          <w:lang w:eastAsia="cs-CZ"/>
        </w:rPr>
        <w:t xml:space="preserve"> hodlá v roce 201</w:t>
      </w:r>
      <w:r>
        <w:rPr>
          <w:rFonts w:ascii="Times New Roman" w:hAnsi="Times New Roman" w:cs="Times New Roman"/>
          <w:lang w:eastAsia="cs-CZ"/>
        </w:rPr>
        <w:t>8</w:t>
      </w:r>
      <w:r w:rsidRPr="00CE2DAD">
        <w:rPr>
          <w:rFonts w:ascii="Times New Roman" w:hAnsi="Times New Roman" w:cs="Times New Roman"/>
          <w:lang w:eastAsia="cs-CZ"/>
        </w:rPr>
        <w:t xml:space="preserve"> realizovat projekt </w:t>
      </w:r>
      <w:r>
        <w:rPr>
          <w:rFonts w:ascii="Times New Roman" w:hAnsi="Times New Roman" w:cs="Times New Roman"/>
          <w:lang w:eastAsia="cs-CZ"/>
        </w:rPr>
        <w:t xml:space="preserve">Práce s nadanými a talentovanými středoškoláky </w:t>
      </w:r>
      <w:r w:rsidRPr="00CE2DAD">
        <w:rPr>
          <w:rFonts w:ascii="Times New Roman" w:hAnsi="Times New Roman" w:cs="Times New Roman"/>
          <w:lang w:eastAsia="cs-CZ"/>
        </w:rPr>
        <w:t>v roce 201</w:t>
      </w:r>
      <w:r>
        <w:rPr>
          <w:rFonts w:ascii="Times New Roman" w:hAnsi="Times New Roman" w:cs="Times New Roman"/>
          <w:lang w:eastAsia="cs-CZ"/>
        </w:rPr>
        <w:t>8</w:t>
      </w:r>
      <w:r w:rsidRPr="00CE2DAD">
        <w:rPr>
          <w:rFonts w:ascii="Times New Roman" w:hAnsi="Times New Roman" w:cs="Times New Roman"/>
          <w:lang w:eastAsia="cs-CZ"/>
        </w:rPr>
        <w:t xml:space="preserve">. Projekt sestává z </w:t>
      </w:r>
      <w:r w:rsidR="00EE303C">
        <w:rPr>
          <w:rFonts w:ascii="Times New Roman" w:hAnsi="Times New Roman" w:cs="Times New Roman"/>
          <w:lang w:eastAsia="cs-CZ"/>
        </w:rPr>
        <w:t>pěti</w:t>
      </w:r>
      <w:r w:rsidRPr="00CE2DAD">
        <w:rPr>
          <w:rFonts w:ascii="Times New Roman" w:hAnsi="Times New Roman" w:cs="Times New Roman"/>
          <w:lang w:eastAsia="cs-CZ"/>
        </w:rPr>
        <w:t xml:space="preserve"> dílčích podprojektů, k jejichž realizaci bude přistoupeno na základě získaných finančních prostředků. V případě nedostatku finančních prostředků mohou být jednotlivé podprojekty realizovány v omezené míře nebo zcela zrušeny. Kromě projektu </w:t>
      </w:r>
      <w:r>
        <w:rPr>
          <w:rFonts w:ascii="Times New Roman" w:hAnsi="Times New Roman" w:cs="Times New Roman"/>
          <w:lang w:eastAsia="cs-CZ"/>
        </w:rPr>
        <w:t xml:space="preserve">Práce s nadanými a talentovanými středoškoláky </w:t>
      </w:r>
      <w:r w:rsidRPr="00CE2DAD">
        <w:rPr>
          <w:rFonts w:ascii="Times New Roman" w:hAnsi="Times New Roman" w:cs="Times New Roman"/>
          <w:lang w:eastAsia="cs-CZ"/>
        </w:rPr>
        <w:t>v roce 201</w:t>
      </w:r>
      <w:r w:rsidR="005E4F30">
        <w:rPr>
          <w:rFonts w:ascii="Times New Roman" w:hAnsi="Times New Roman" w:cs="Times New Roman"/>
          <w:lang w:eastAsia="cs-CZ"/>
        </w:rPr>
        <w:t>8</w:t>
      </w:r>
      <w:r w:rsidRPr="00CE2DAD">
        <w:rPr>
          <w:rFonts w:ascii="Times New Roman" w:hAnsi="Times New Roman" w:cs="Times New Roman"/>
          <w:lang w:eastAsia="cs-CZ"/>
        </w:rPr>
        <w:t xml:space="preserve"> mohou být podle finančních možností Sdružení realizovány další </w:t>
      </w:r>
      <w:r w:rsidR="00864BAB">
        <w:rPr>
          <w:rFonts w:ascii="Times New Roman" w:hAnsi="Times New Roman" w:cs="Times New Roman"/>
          <w:lang w:eastAsia="cs-CZ"/>
        </w:rPr>
        <w:t xml:space="preserve">akce </w:t>
      </w:r>
      <w:r w:rsidRPr="00CE2DAD">
        <w:rPr>
          <w:rFonts w:ascii="Times New Roman" w:hAnsi="Times New Roman" w:cs="Times New Roman"/>
          <w:lang w:eastAsia="cs-CZ"/>
        </w:rPr>
        <w:t>podporující talentované středoškoláky.</w:t>
      </w:r>
      <w:r>
        <w:rPr>
          <w:rFonts w:ascii="Times New Roman" w:hAnsi="Times New Roman" w:cs="Times New Roman"/>
          <w:lang w:eastAsia="cs-CZ"/>
        </w:rPr>
        <w:t xml:space="preserve"> Tyto projekty naplňují Koncepci 2020, kterou napomáhají realizovat, a to systémovou, systematickou a cílevědomou prací při pořádaných akcích.</w:t>
      </w:r>
    </w:p>
    <w:p w:rsidR="00646E0C" w:rsidRPr="00CE2DAD" w:rsidRDefault="00646E0C" w:rsidP="00646E0C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A</w:t>
      </w:r>
      <w:r w:rsidRPr="00CE2DAD">
        <w:rPr>
          <w:rFonts w:ascii="Times New Roman" w:hAnsi="Times New Roman" w:cs="Times New Roman"/>
          <w:color w:val="auto"/>
          <w:sz w:val="28"/>
          <w:szCs w:val="28"/>
          <w:lang w:eastAsia="cs-CZ"/>
        </w:rPr>
        <w:t>, Celostátní přehlídka SOČ: Cena TALENT 201</w:t>
      </w: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8</w:t>
      </w:r>
    </w:p>
    <w:p w:rsidR="00646E0C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Třem </w:t>
      </w:r>
      <w:r>
        <w:rPr>
          <w:rFonts w:ascii="Times New Roman" w:hAnsi="Times New Roman" w:cs="Times New Roman"/>
          <w:lang w:eastAsia="cs-CZ"/>
        </w:rPr>
        <w:t>účastníkům 40. c</w:t>
      </w:r>
      <w:r w:rsidRPr="00CE2DAD">
        <w:rPr>
          <w:rFonts w:ascii="Times New Roman" w:hAnsi="Times New Roman" w:cs="Times New Roman"/>
          <w:lang w:eastAsia="cs-CZ"/>
        </w:rPr>
        <w:t>elostátní přehlíd</w:t>
      </w:r>
      <w:r>
        <w:rPr>
          <w:rFonts w:ascii="Times New Roman" w:hAnsi="Times New Roman" w:cs="Times New Roman"/>
          <w:lang w:eastAsia="cs-CZ"/>
        </w:rPr>
        <w:t>ky</w:t>
      </w:r>
      <w:r w:rsidRPr="00CE2DAD">
        <w:rPr>
          <w:rFonts w:ascii="Times New Roman" w:hAnsi="Times New Roman" w:cs="Times New Roman"/>
          <w:lang w:eastAsia="cs-CZ"/>
        </w:rPr>
        <w:t xml:space="preserve"> SOČ </w:t>
      </w:r>
      <w:r>
        <w:rPr>
          <w:rFonts w:ascii="Times New Roman" w:hAnsi="Times New Roman" w:cs="Times New Roman"/>
          <w:lang w:eastAsia="cs-CZ"/>
        </w:rPr>
        <w:t xml:space="preserve">bude na základě rozhodnutí ústřední poroty SOČ </w:t>
      </w:r>
      <w:r w:rsidRPr="00CE2DAD">
        <w:rPr>
          <w:rFonts w:ascii="Times New Roman" w:hAnsi="Times New Roman" w:cs="Times New Roman"/>
          <w:lang w:eastAsia="cs-CZ"/>
        </w:rPr>
        <w:t xml:space="preserve">udělena </w:t>
      </w:r>
      <w:r w:rsidRPr="00CE2DAD">
        <w:rPr>
          <w:rFonts w:ascii="Times New Roman" w:hAnsi="Times New Roman" w:cs="Times New Roman"/>
          <w:b/>
          <w:lang w:eastAsia="cs-CZ"/>
        </w:rPr>
        <w:t>cena Talent</w:t>
      </w:r>
      <w:r w:rsidRPr="00CE2DAD">
        <w:rPr>
          <w:rFonts w:ascii="Times New Roman" w:hAnsi="Times New Roman" w:cs="Times New Roman"/>
          <w:lang w:eastAsia="cs-CZ"/>
        </w:rPr>
        <w:t xml:space="preserve"> </w:t>
      </w:r>
      <w:r w:rsidRPr="00CE2DAD">
        <w:rPr>
          <w:rFonts w:ascii="Times New Roman" w:hAnsi="Times New Roman" w:cs="Times New Roman"/>
          <w:b/>
          <w:lang w:eastAsia="cs-CZ"/>
        </w:rPr>
        <w:t>201</w:t>
      </w:r>
      <w:r w:rsidR="005E4F30">
        <w:rPr>
          <w:rFonts w:ascii="Times New Roman" w:hAnsi="Times New Roman" w:cs="Times New Roman"/>
          <w:b/>
          <w:lang w:eastAsia="cs-CZ"/>
        </w:rPr>
        <w:t>8</w:t>
      </w:r>
      <w:r w:rsidRPr="00CE2DAD">
        <w:rPr>
          <w:rFonts w:ascii="Times New Roman" w:hAnsi="Times New Roman" w:cs="Times New Roman"/>
          <w:lang w:eastAsia="cs-CZ"/>
        </w:rPr>
        <w:t xml:space="preserve"> (v oblasti technických, přírodních a humanitních věd). </w:t>
      </w:r>
    </w:p>
    <w:p w:rsidR="00646E0C" w:rsidRPr="00581960" w:rsidRDefault="00646E0C" w:rsidP="00646E0C">
      <w:pPr>
        <w:pStyle w:val="Nadpis2"/>
        <w:rPr>
          <w:rFonts w:ascii="Times New Roman" w:hAnsi="Times New Roman" w:cs="Times New Roman"/>
          <w:b w:val="0"/>
          <w:color w:val="auto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B</w:t>
      </w:r>
      <w:r w:rsidRPr="00581960">
        <w:rPr>
          <w:rFonts w:ascii="Times New Roman" w:hAnsi="Times New Roman" w:cs="Times New Roman"/>
          <w:color w:val="auto"/>
          <w:sz w:val="28"/>
          <w:szCs w:val="28"/>
          <w:lang w:eastAsia="cs-CZ"/>
        </w:rPr>
        <w:t xml:space="preserve">, Letní soustředění vítězů SOČ </w:t>
      </w: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I</w:t>
      </w:r>
      <w:r w:rsidRPr="00581960">
        <w:rPr>
          <w:rFonts w:ascii="Times New Roman" w:hAnsi="Times New Roman" w:cs="Times New Roman"/>
          <w:color w:val="auto"/>
          <w:sz w:val="28"/>
          <w:szCs w:val="28"/>
          <w:lang w:eastAsia="cs-CZ"/>
        </w:rPr>
        <w:t>I 201</w:t>
      </w: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8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581960">
        <w:rPr>
          <w:rFonts w:ascii="Times New Roman" w:hAnsi="Times New Roman" w:cs="Times New Roman"/>
          <w:lang w:eastAsia="cs-CZ"/>
        </w:rPr>
        <w:t>Letní odborné soustředění SOČ je pětidenní akce přímo navazující na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soutěž Středoškolská odborná činnost. Akce se zúčastní vítězové 18 oborů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celostátní přehlídky SOČ</w:t>
      </w:r>
      <w:r w:rsidR="00853547">
        <w:rPr>
          <w:rFonts w:ascii="Times New Roman" w:hAnsi="Times New Roman" w:cs="Times New Roman"/>
          <w:lang w:eastAsia="cs-CZ"/>
        </w:rPr>
        <w:t xml:space="preserve"> (nanejvýš 288 žáků)</w:t>
      </w:r>
      <w:r w:rsidRPr="00581960">
        <w:rPr>
          <w:rFonts w:ascii="Times New Roman" w:hAnsi="Times New Roman" w:cs="Times New Roman"/>
          <w:lang w:eastAsia="cs-CZ"/>
        </w:rPr>
        <w:t>, kteří formou praktických workshopů rozšíří své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znalosti a zdokonalí své dovednosti v oblasti odborné vědecké práce.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Nedílnou součástí budou exkurze na výzkumná pracoviště vysokých škol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zejména v přírodovědných a technických oborech a setkání s</w:t>
      </w:r>
      <w:r>
        <w:rPr>
          <w:rFonts w:ascii="Times New Roman" w:hAnsi="Times New Roman" w:cs="Times New Roman"/>
          <w:lang w:eastAsia="cs-CZ"/>
        </w:rPr>
        <w:t> </w:t>
      </w:r>
      <w:r w:rsidRPr="00581960">
        <w:rPr>
          <w:rFonts w:ascii="Times New Roman" w:hAnsi="Times New Roman" w:cs="Times New Roman"/>
          <w:lang w:eastAsia="cs-CZ"/>
        </w:rPr>
        <w:t>významnými</w:t>
      </w:r>
      <w:r>
        <w:rPr>
          <w:rFonts w:ascii="Times New Roman" w:hAnsi="Times New Roman" w:cs="Times New Roman"/>
          <w:lang w:eastAsia="cs-CZ"/>
        </w:rPr>
        <w:t xml:space="preserve"> </w:t>
      </w:r>
      <w:r w:rsidRPr="00581960">
        <w:rPr>
          <w:rFonts w:ascii="Times New Roman" w:hAnsi="Times New Roman" w:cs="Times New Roman"/>
          <w:lang w:eastAsia="cs-CZ"/>
        </w:rPr>
        <w:t>vědci</w:t>
      </w:r>
      <w:r>
        <w:rPr>
          <w:rFonts w:ascii="Times New Roman" w:hAnsi="Times New Roman" w:cs="Times New Roman"/>
          <w:lang w:eastAsia="cs-CZ"/>
        </w:rPr>
        <w:t xml:space="preserve"> a osobnostmi</w:t>
      </w:r>
      <w:r w:rsidRPr="00581960">
        <w:rPr>
          <w:rFonts w:ascii="Times New Roman" w:hAnsi="Times New Roman" w:cs="Times New Roman"/>
          <w:lang w:eastAsia="cs-CZ"/>
        </w:rPr>
        <w:t>, což bude účastníky motivovat k další vědecké práci</w:t>
      </w:r>
      <w:r>
        <w:rPr>
          <w:rFonts w:ascii="Times New Roman" w:hAnsi="Times New Roman" w:cs="Times New Roman"/>
          <w:lang w:eastAsia="cs-CZ"/>
        </w:rPr>
        <w:t xml:space="preserve"> a dalšímu elitnímu studiu. Letní soustředění vítězů SOČ je úzce provázáno s akcí Letní škola SOČ (viz C). Účastníci Letního soustředění nejprve samostatně absolvují teoretickou výuku v oblasti vědecké práce. V rámci praktické části výuky </w:t>
      </w:r>
      <w:r w:rsidR="00853547">
        <w:rPr>
          <w:rFonts w:ascii="Times New Roman" w:hAnsi="Times New Roman" w:cs="Times New Roman"/>
          <w:lang w:eastAsia="cs-CZ"/>
        </w:rPr>
        <w:t xml:space="preserve">pak </w:t>
      </w:r>
      <w:r>
        <w:rPr>
          <w:rFonts w:ascii="Times New Roman" w:hAnsi="Times New Roman" w:cs="Times New Roman"/>
          <w:lang w:eastAsia="cs-CZ"/>
        </w:rPr>
        <w:t>budou prezentovat své výsledky začátečníkům účastnícím se Letní školy</w:t>
      </w:r>
      <w:r w:rsidR="00853547">
        <w:rPr>
          <w:rFonts w:ascii="Times New Roman" w:hAnsi="Times New Roman" w:cs="Times New Roman"/>
          <w:lang w:eastAsia="cs-CZ"/>
        </w:rPr>
        <w:t xml:space="preserve"> SOČ, což jim umožní získat cennou zpětnou vazbu, vyzkoušet si prezentaci před širším publikem</w:t>
      </w:r>
      <w:r>
        <w:rPr>
          <w:rFonts w:ascii="Times New Roman" w:hAnsi="Times New Roman" w:cs="Times New Roman"/>
          <w:lang w:eastAsia="cs-CZ"/>
        </w:rPr>
        <w:t>.</w:t>
      </w:r>
    </w:p>
    <w:p w:rsidR="00646E0C" w:rsidRPr="00581960" w:rsidRDefault="00646E0C" w:rsidP="00646E0C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C</w:t>
      </w:r>
      <w:r w:rsidRPr="00581960">
        <w:rPr>
          <w:rFonts w:ascii="Times New Roman" w:hAnsi="Times New Roman" w:cs="Times New Roman"/>
          <w:color w:val="auto"/>
          <w:sz w:val="28"/>
          <w:szCs w:val="28"/>
          <w:lang w:eastAsia="cs-CZ"/>
        </w:rPr>
        <w:t>, Letní škola SOČ 201</w:t>
      </w: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8</w:t>
      </w:r>
    </w:p>
    <w:p w:rsidR="00646E0C" w:rsidRPr="00CE2DAD" w:rsidRDefault="00413344" w:rsidP="00646E0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Ve stejném termínu jako Letní soustředění vítězů SOČ (viz B) proběhne i třídenní seminář Letní škola SOČ určený naprostým začátečníkům. Ti nejprve získají základní teoretické informace o tom, jak psát práci SOČ (zahrnující formulaci tématu, vyhledávání informací, psaní práce, formální náležitosti, citace a základy prezentačních dovedností). Poté se v roli diváků</w:t>
      </w:r>
      <w:r w:rsidR="004A66A5">
        <w:rPr>
          <w:rFonts w:ascii="Times New Roman" w:hAnsi="Times New Roman" w:cs="Times New Roman"/>
          <w:lang w:eastAsia="cs-CZ"/>
        </w:rPr>
        <w:t>,</w:t>
      </w:r>
      <w:r>
        <w:rPr>
          <w:rFonts w:ascii="Times New Roman" w:hAnsi="Times New Roman" w:cs="Times New Roman"/>
          <w:lang w:eastAsia="cs-CZ"/>
        </w:rPr>
        <w:t xml:space="preserve"> porotců </w:t>
      </w:r>
      <w:r w:rsidR="004A66A5">
        <w:rPr>
          <w:rFonts w:ascii="Times New Roman" w:hAnsi="Times New Roman" w:cs="Times New Roman"/>
          <w:lang w:eastAsia="cs-CZ"/>
        </w:rPr>
        <w:t xml:space="preserve">a diskutujících </w:t>
      </w:r>
      <w:r w:rsidR="00853547">
        <w:rPr>
          <w:rFonts w:ascii="Times New Roman" w:hAnsi="Times New Roman" w:cs="Times New Roman"/>
          <w:lang w:eastAsia="cs-CZ"/>
        </w:rPr>
        <w:t xml:space="preserve">zúčastní </w:t>
      </w:r>
      <w:r>
        <w:rPr>
          <w:rFonts w:ascii="Times New Roman" w:hAnsi="Times New Roman" w:cs="Times New Roman"/>
          <w:lang w:eastAsia="cs-CZ"/>
        </w:rPr>
        <w:t xml:space="preserve">praktických prezentací svých vysoce pokročilých kolegů a kolegyň účastnících se Letního soustředění vítězů SOČ. Propojení pokročilých a začínajících pomůže k motivaci začátečníků k usilovné odborné práci, získání informací o průběhu soutěže SOČ od přímých účastníků a navázání úzkých kontaktů. Pokročilí studenti pak mohou </w:t>
      </w:r>
      <w:r w:rsidR="00853547">
        <w:rPr>
          <w:rFonts w:ascii="Times New Roman" w:hAnsi="Times New Roman" w:cs="Times New Roman"/>
          <w:lang w:eastAsia="cs-CZ"/>
        </w:rPr>
        <w:t xml:space="preserve">i nadále </w:t>
      </w:r>
      <w:r>
        <w:rPr>
          <w:rFonts w:ascii="Times New Roman" w:hAnsi="Times New Roman" w:cs="Times New Roman"/>
          <w:lang w:eastAsia="cs-CZ"/>
        </w:rPr>
        <w:t xml:space="preserve">působit v pozici </w:t>
      </w:r>
      <w:proofErr w:type="spellStart"/>
      <w:r>
        <w:rPr>
          <w:rFonts w:ascii="Times New Roman" w:hAnsi="Times New Roman" w:cs="Times New Roman"/>
          <w:lang w:eastAsia="cs-CZ"/>
        </w:rPr>
        <w:t>mentorů</w:t>
      </w:r>
      <w:proofErr w:type="spellEnd"/>
      <w:r>
        <w:rPr>
          <w:rFonts w:ascii="Times New Roman" w:hAnsi="Times New Roman" w:cs="Times New Roman"/>
          <w:lang w:eastAsia="cs-CZ"/>
        </w:rPr>
        <w:t xml:space="preserve"> pro své začínající kolegy.</w:t>
      </w:r>
      <w:r w:rsidR="00853547">
        <w:rPr>
          <w:rFonts w:ascii="Times New Roman" w:hAnsi="Times New Roman" w:cs="Times New Roman"/>
          <w:lang w:eastAsia="cs-CZ"/>
        </w:rPr>
        <w:t xml:space="preserve"> Propojování soutěžících různého stupně pokročilosti, různých věkových skupin, různých soutěžních oborů a různých regionů České republiky patří k hlavním cílům této akce.</w:t>
      </w:r>
    </w:p>
    <w:p w:rsidR="00646E0C" w:rsidRPr="00581960" w:rsidRDefault="00413344" w:rsidP="00646E0C">
      <w:pPr>
        <w:pStyle w:val="Nadpis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D</w:t>
      </w:r>
      <w:r w:rsidR="00646E0C" w:rsidRPr="00581960">
        <w:rPr>
          <w:rFonts w:ascii="Times New Roman" w:hAnsi="Times New Roman" w:cs="Times New Roman"/>
          <w:color w:val="auto"/>
          <w:sz w:val="28"/>
          <w:szCs w:val="28"/>
          <w:lang w:eastAsia="cs-CZ"/>
        </w:rPr>
        <w:t xml:space="preserve">, </w:t>
      </w:r>
      <w:r w:rsidRPr="00413344">
        <w:rPr>
          <w:rFonts w:ascii="Times New Roman" w:hAnsi="Times New Roman" w:cs="Times New Roman"/>
          <w:color w:val="auto"/>
          <w:sz w:val="28"/>
          <w:szCs w:val="28"/>
          <w:lang w:eastAsia="cs-CZ"/>
        </w:rPr>
        <w:t>Mezinárodní soutěže, příprava, prezentace a medializace výsledků V</w:t>
      </w:r>
    </w:p>
    <w:p w:rsidR="00646E0C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Třídenní seminář </w:t>
      </w:r>
      <w:r w:rsidR="00413344" w:rsidRPr="00EA5319">
        <w:rPr>
          <w:rFonts w:ascii="Times New Roman" w:hAnsi="Times New Roman" w:cs="Times New Roman"/>
          <w:lang w:eastAsia="cs-CZ"/>
        </w:rPr>
        <w:t xml:space="preserve">Mezinárodní soutěže, příprava, prezentace a medializace výsledků </w:t>
      </w:r>
      <w:r w:rsidRPr="00CE2DAD">
        <w:rPr>
          <w:rFonts w:ascii="Times New Roman" w:hAnsi="Times New Roman" w:cs="Times New Roman"/>
          <w:lang w:eastAsia="cs-CZ"/>
        </w:rPr>
        <w:t xml:space="preserve">je určen studujícím, kteří se </w:t>
      </w:r>
      <w:proofErr w:type="spellStart"/>
      <w:r>
        <w:rPr>
          <w:rFonts w:ascii="Times New Roman" w:hAnsi="Times New Roman" w:cs="Times New Roman"/>
          <w:lang w:eastAsia="cs-CZ"/>
        </w:rPr>
        <w:t>se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r w:rsidRPr="00CE2DAD">
        <w:rPr>
          <w:rFonts w:ascii="Times New Roman" w:hAnsi="Times New Roman" w:cs="Times New Roman"/>
          <w:lang w:eastAsia="cs-CZ"/>
        </w:rPr>
        <w:t>soutěží SOČ již seznámili</w:t>
      </w:r>
      <w:r>
        <w:rPr>
          <w:rFonts w:ascii="Times New Roman" w:hAnsi="Times New Roman" w:cs="Times New Roman"/>
          <w:lang w:eastAsia="cs-CZ"/>
        </w:rPr>
        <w:t>,</w:t>
      </w:r>
      <w:r w:rsidRPr="00CE2DAD">
        <w:rPr>
          <w:rFonts w:ascii="Times New Roman" w:hAnsi="Times New Roman" w:cs="Times New Roman"/>
          <w:lang w:eastAsia="cs-CZ"/>
        </w:rPr>
        <w:t xml:space="preserve"> a chtějí vylepšit své práce</w:t>
      </w:r>
      <w:r>
        <w:rPr>
          <w:rFonts w:ascii="Times New Roman" w:hAnsi="Times New Roman" w:cs="Times New Roman"/>
          <w:lang w:eastAsia="cs-CZ"/>
        </w:rPr>
        <w:t xml:space="preserve"> a získat lepší umístění v soutěži</w:t>
      </w:r>
      <w:r w:rsidRPr="00CE2DAD">
        <w:rPr>
          <w:rFonts w:ascii="Times New Roman" w:hAnsi="Times New Roman" w:cs="Times New Roman"/>
          <w:lang w:eastAsia="cs-CZ"/>
        </w:rPr>
        <w:t xml:space="preserve">. </w:t>
      </w:r>
      <w:r w:rsidR="005E4F30">
        <w:rPr>
          <w:rFonts w:ascii="Times New Roman" w:hAnsi="Times New Roman" w:cs="Times New Roman"/>
          <w:lang w:eastAsia="cs-CZ"/>
        </w:rPr>
        <w:t xml:space="preserve">Zejména se zaměřuje na soutěžící, kteří byli nominováni a připravují se na významné mezinárodní soutěže. </w:t>
      </w:r>
      <w:r w:rsidRPr="00CE2DAD">
        <w:rPr>
          <w:rFonts w:ascii="Times New Roman" w:hAnsi="Times New Roman" w:cs="Times New Roman"/>
          <w:lang w:eastAsia="cs-CZ"/>
        </w:rPr>
        <w:t>Dále se zúčastňují i ti, co teprve začínají. Názorným způsobem se seznámí se základním systémem soutěže Středoškolská odborná činnost, naučí se vybrat téma a podle pravidel ho zpracovat. Speciální lekce budou věnovány vyhledávání informací, zpracování citací, dodržení formálních požadavků a přípravě prezentace. Nedílnou součástí je také základní psychologická příprava účastníků soutěží, lekce rétoriky, asertivního a společenského chování a prezentace práce před odbornou porotou.</w:t>
      </w:r>
    </w:p>
    <w:p w:rsidR="00646E0C" w:rsidRPr="00581960" w:rsidRDefault="00413344" w:rsidP="00646E0C">
      <w:pPr>
        <w:pStyle w:val="Nadpis2"/>
        <w:rPr>
          <w:rFonts w:ascii="Times New Roman" w:hAnsi="Times New Roman" w:cs="Times New Roman"/>
          <w:b w:val="0"/>
          <w:color w:val="auto"/>
          <w:sz w:val="28"/>
          <w:szCs w:val="28"/>
          <w:lang w:eastAsia="cs-CZ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cs-CZ"/>
        </w:rPr>
        <w:t>E</w:t>
      </w:r>
      <w:r w:rsidR="00646E0C" w:rsidRPr="00581960">
        <w:rPr>
          <w:rFonts w:ascii="Times New Roman" w:hAnsi="Times New Roman" w:cs="Times New Roman"/>
          <w:color w:val="auto"/>
          <w:sz w:val="28"/>
          <w:szCs w:val="28"/>
          <w:lang w:eastAsia="cs-CZ"/>
        </w:rPr>
        <w:t>, Zajištění celoročního chodu Sdružení a další činnost Sdružení</w:t>
      </w:r>
    </w:p>
    <w:p w:rsidR="008772D5" w:rsidRDefault="00646E0C" w:rsidP="005E4F30">
      <w:pPr>
        <w:jc w:val="both"/>
        <w:rPr>
          <w:rFonts w:ascii="Times New Roman" w:hAnsi="Times New Roman" w:cs="Times New Roman"/>
          <w:smallCaps/>
          <w:sz w:val="60"/>
          <w:szCs w:val="60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Sdružení pro svou činnost potřebuje hradit náklady na pronájem a vedení kanceláře, vedení účetnictví, právní služby, nákup kancelářských potřeb, tisk, kopírování materiálů, poštovné, dopravné, cestovné, telekomunikační poplatky </w:t>
      </w:r>
      <w:r>
        <w:rPr>
          <w:rFonts w:ascii="Times New Roman" w:hAnsi="Times New Roman" w:cs="Times New Roman"/>
          <w:lang w:eastAsia="cs-CZ"/>
        </w:rPr>
        <w:t>a nutné prokazatelné náklady organizátorů akcí</w:t>
      </w:r>
      <w:r w:rsidRPr="00CE2DAD">
        <w:rPr>
          <w:rFonts w:ascii="Times New Roman" w:hAnsi="Times New Roman" w:cs="Times New Roman"/>
          <w:lang w:eastAsia="cs-CZ"/>
        </w:rPr>
        <w:t xml:space="preserve">. </w:t>
      </w:r>
      <w:r w:rsidR="008772D5">
        <w:rPr>
          <w:rFonts w:ascii="Times New Roman" w:hAnsi="Times New Roman" w:cs="Times New Roman"/>
          <w:smallCaps/>
          <w:sz w:val="60"/>
          <w:szCs w:val="60"/>
          <w:lang w:eastAsia="cs-CZ"/>
        </w:rPr>
        <w:br w:type="page"/>
      </w:r>
    </w:p>
    <w:p w:rsidR="00AD7425" w:rsidRPr="00AD7425" w:rsidRDefault="00AD7425" w:rsidP="00AD7425">
      <w:pPr>
        <w:jc w:val="center"/>
        <w:rPr>
          <w:rFonts w:ascii="Times New Roman" w:hAnsi="Times New Roman" w:cs="Times New Roman"/>
          <w:smallCaps/>
          <w:sz w:val="60"/>
          <w:szCs w:val="60"/>
          <w:lang w:eastAsia="cs-CZ"/>
        </w:rPr>
      </w:pPr>
      <w:r w:rsidRPr="00AD7425">
        <w:rPr>
          <w:rFonts w:ascii="Times New Roman" w:hAnsi="Times New Roman" w:cs="Times New Roman"/>
          <w:smallCaps/>
          <w:sz w:val="60"/>
          <w:szCs w:val="60"/>
          <w:lang w:eastAsia="cs-CZ"/>
        </w:rPr>
        <w:lastRenderedPageBreak/>
        <w:t>Zdůvodnění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Hlavním cílem předkládaného projektu je získání nových zájemců o účast v soutěži Středoškolská odborná činnost a podpoření již získaných zájemců v jejich prvních pokusech o samostatnou vědeckou a odbornou práci. Všechny podprojekty jsou připraveny s cílem poskytnout studentům základní metodologické znalosti a dovednosti, které využijí jak při přípravě práce SOČ, ale také v dalším studiu na střední i vysoké škole eventuálně i v praxi. Tam lze tyto dovednosti aplikovat na přípravu ročníkových, maturitních, bakalářských a diplomových prací. Využitelnost těchto dovedností dokazuje zpětná vazba od bývalých absolventů, kteří již studují na vysoké škole, nebo </w:t>
      </w:r>
      <w:r>
        <w:rPr>
          <w:rFonts w:ascii="Times New Roman" w:hAnsi="Times New Roman" w:cs="Times New Roman"/>
          <w:lang w:eastAsia="cs-CZ"/>
        </w:rPr>
        <w:t>jsou již v praxi</w:t>
      </w:r>
      <w:r w:rsidRPr="00CE2DAD">
        <w:rPr>
          <w:rFonts w:ascii="Times New Roman" w:hAnsi="Times New Roman" w:cs="Times New Roman"/>
          <w:lang w:eastAsia="cs-CZ"/>
        </w:rPr>
        <w:t>.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>Ze zpětné vazby od absolventů dále víme, že většina námi proškolených studentů referuje o získaných vědomostech na své střední škole, čímž se informace rozšíří k mnohem širšímu okruhu zájemců. Za tímto účelem je k dispozici kniha Jak psát odbornou práci SOČ, kterou Sdružení rozdává zdarma všem účastníkům svých akcí a zpřístupňuje ji v plné aktualizované podobě zdarma na svých webových stránkách spolu s pravidelně aktualizovanými prezentacemi ze všech lekcí.</w:t>
      </w:r>
    </w:p>
    <w:p w:rsidR="00646E0C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S</w:t>
      </w:r>
      <w:r w:rsidRPr="00CE2DAD">
        <w:rPr>
          <w:rFonts w:ascii="Times New Roman" w:hAnsi="Times New Roman" w:cs="Times New Roman"/>
          <w:lang w:eastAsia="cs-CZ"/>
        </w:rPr>
        <w:t>emináře i Letní škola jsou koncipovány p</w:t>
      </w:r>
      <w:r>
        <w:rPr>
          <w:rFonts w:ascii="Times New Roman" w:hAnsi="Times New Roman" w:cs="Times New Roman"/>
          <w:lang w:eastAsia="cs-CZ"/>
        </w:rPr>
        <w:t>ro tři skupiny o velikosti 15-25</w:t>
      </w:r>
      <w:r w:rsidRPr="00CE2DAD">
        <w:rPr>
          <w:rFonts w:ascii="Times New Roman" w:hAnsi="Times New Roman" w:cs="Times New Roman"/>
          <w:lang w:eastAsia="cs-CZ"/>
        </w:rPr>
        <w:t xml:space="preserve"> studujících, celkem tedy 45-</w:t>
      </w:r>
      <w:r>
        <w:rPr>
          <w:rFonts w:ascii="Times New Roman" w:hAnsi="Times New Roman" w:cs="Times New Roman"/>
          <w:lang w:eastAsia="cs-CZ"/>
        </w:rPr>
        <w:t>70</w:t>
      </w:r>
      <w:r w:rsidRPr="00CE2DAD">
        <w:rPr>
          <w:rFonts w:ascii="Times New Roman" w:hAnsi="Times New Roman" w:cs="Times New Roman"/>
          <w:lang w:eastAsia="cs-CZ"/>
        </w:rPr>
        <w:t xml:space="preserve"> účastníků na každé akci. Cílovou skupinou jsou ve všech případech žáci a čerství absolventi (do jednoho roku po maturitě) středních škol, kteří se účastní soutěže SOČ.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>Studenty nominuje na akci jejich střední škola, v případě absolventů se mohou nominovat sami. V případě převisu zájemců nad volnými místy je z přihlášených studentů vybíráno tak, aby bylo zastoupeno co nejvíc krajů a co nejvíc středních škol. U akcí určených přednostně pokročilým studentům je dána přednost studentům, kteří již mají svou práci SOČ v pokročilé fázi, u akcí určených začínajícím studentům je dána přednost studentům, kteří s prací SOČ ještě nezačali.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 xml:space="preserve">Všechny akce jsou sestaveny s tříhodinových výukových bloků věnovaných vždy jednomu tématu. Dopolední blok začíná v 9.00 a končí </w:t>
      </w:r>
      <w:proofErr w:type="gramStart"/>
      <w:r w:rsidRPr="00CE2DAD">
        <w:rPr>
          <w:rFonts w:ascii="Times New Roman" w:hAnsi="Times New Roman" w:cs="Times New Roman"/>
          <w:lang w:eastAsia="cs-CZ"/>
        </w:rPr>
        <w:t>ve</w:t>
      </w:r>
      <w:proofErr w:type="gramEnd"/>
      <w:r w:rsidRPr="00CE2DAD">
        <w:rPr>
          <w:rFonts w:ascii="Times New Roman" w:hAnsi="Times New Roman" w:cs="Times New Roman"/>
          <w:lang w:eastAsia="cs-CZ"/>
        </w:rPr>
        <w:t xml:space="preserve"> 12.00, odpolední blok začíná v 14.00 a končí v 17.00. Následuje neformální večerní blok od 19.00 do 21.00, který je věnován popularizačním přednáškám, neformálním debatám nebo budování kontaktních sítí mezi studenty (</w:t>
      </w:r>
      <w:proofErr w:type="spellStart"/>
      <w:r w:rsidRPr="00CE2DAD">
        <w:rPr>
          <w:rFonts w:ascii="Times New Roman" w:hAnsi="Times New Roman" w:cs="Times New Roman"/>
          <w:lang w:eastAsia="cs-CZ"/>
        </w:rPr>
        <w:t>networking</w:t>
      </w:r>
      <w:proofErr w:type="spellEnd"/>
      <w:r w:rsidRPr="00CE2DAD">
        <w:rPr>
          <w:rFonts w:ascii="Times New Roman" w:hAnsi="Times New Roman" w:cs="Times New Roman"/>
          <w:lang w:eastAsia="cs-CZ"/>
        </w:rPr>
        <w:t>).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>Lekce jsou vedeny seminární a workshopovou formou s aktivním zapojením všech účastníků. Frontální výuka teorie je omezena na nezbytně nutné minimum, předpokládá se, že teorii studenti dostudují samostatně ze studijních materiálů, které mají k dispozici. V rámci kontaktních lekcí se pak věnují praktickému nácviku potřebných dovedností, diskuzím nad svými pracemi a řešením vlastních problémů.</w:t>
      </w: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>Přesná náplň jednotlivých akcí se liší podle časové dotace (3 nebo 5 dní) a pokročilosti cílové skupiny. Zahrnuje ale především následující lekce: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Jak psát práci SOČ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Informace o systému soutěže SOČ, postup výběru tématu, jeho upřesňování. Přesná formulace výzkumného problému a výzkumných otázek. Postup při tvorbě práce, struktura vědecké práce. Problematika konzultantů při tvorbě práce SOČ. Programy pro podporu nadaných studentů v jednotlivých krajích.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Vyhledávání informací a citace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Systém knihoven, struktura knihovních služeb. Způsob vyhledávání podkladů, základy rešeršní činnosti. Databáze vědeckých článků a jejich využití. Proč vůbec citovat? Základy citační etiky a praxe. Nejpoužívanější citační normy. Citační manažery.</w:t>
      </w:r>
      <w:r>
        <w:rPr>
          <w:rFonts w:ascii="Times New Roman" w:hAnsi="Times New Roman" w:cs="Times New Roman"/>
          <w:lang w:eastAsia="cs-CZ"/>
        </w:rPr>
        <w:t xml:space="preserve"> Autorské a průmyslové právo.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Formální náležitosti práce SOČ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Struktura práce SOČ, povinné náležitosti práce SOČ. Základy typografie a počítačové sazby. Nejčastější formální nedostatky.</w:t>
      </w:r>
    </w:p>
    <w:p w:rsidR="004A66A5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Tvorba prezentace práce SOČ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Počítačové prostředky využitelné při tvorbě prezentace. Struktura obhajoby, nejčastější nedostatky v obhajobách soutěžících. Struktura počítačové prezentace, struktura jednotlivých snímků. Grafická podoba snímků, základy typografie. Časování prezentace a dodržení časového limitu. Praktický nácvik prezentace.</w:t>
      </w:r>
      <w:r>
        <w:rPr>
          <w:rFonts w:ascii="Times New Roman" w:hAnsi="Times New Roman" w:cs="Times New Roman"/>
          <w:lang w:eastAsia="cs-CZ"/>
        </w:rPr>
        <w:t xml:space="preserve"> 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lastRenderedPageBreak/>
        <w:t>Rétorika a řečnická dovednost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Práce s hlasem, odstraňování nejčastějších řečových vad. Uvolňování hlasu před vystoupením, odbourávání trémy. Mimika, postoj a neverbální komunikace vůbec.</w:t>
      </w:r>
      <w:r>
        <w:rPr>
          <w:rFonts w:ascii="Times New Roman" w:hAnsi="Times New Roman" w:cs="Times New Roman"/>
          <w:lang w:eastAsia="cs-CZ"/>
        </w:rPr>
        <w:t xml:space="preserve"> Diskuze s odbornou porotou při obhajobě práce</w:t>
      </w:r>
      <w:r w:rsidR="005E4F30">
        <w:rPr>
          <w:rFonts w:ascii="Times New Roman" w:hAnsi="Times New Roman" w:cs="Times New Roman"/>
          <w:lang w:eastAsia="cs-CZ"/>
        </w:rPr>
        <w:t xml:space="preserve"> za využití asertivita</w:t>
      </w:r>
      <w:r>
        <w:rPr>
          <w:rFonts w:ascii="Times New Roman" w:hAnsi="Times New Roman" w:cs="Times New Roman"/>
          <w:lang w:eastAsia="cs-CZ"/>
        </w:rPr>
        <w:t>.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Psychologické aspekty tvorby a obhajoby vědecké práce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Práce se stresem v průběhu vědecké práce. Dodržování předsevzetí. Zvyšování sebedůvěry, boj s trémou. Základy asertivity, reakce na kritiku.</w:t>
      </w:r>
    </w:p>
    <w:p w:rsidR="00646E0C" w:rsidRPr="00CE2DAD" w:rsidRDefault="00646E0C" w:rsidP="004A66A5">
      <w:pPr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b/>
          <w:lang w:eastAsia="cs-CZ"/>
        </w:rPr>
        <w:t>Tvorba posteru</w:t>
      </w:r>
      <w:r w:rsidR="004A66A5">
        <w:rPr>
          <w:rFonts w:ascii="Times New Roman" w:hAnsi="Times New Roman" w:cs="Times New Roman"/>
          <w:b/>
          <w:lang w:eastAsia="cs-CZ"/>
        </w:rPr>
        <w:t xml:space="preserve">: </w:t>
      </w:r>
      <w:r w:rsidRPr="00CE2DAD">
        <w:rPr>
          <w:rFonts w:ascii="Times New Roman" w:hAnsi="Times New Roman" w:cs="Times New Roman"/>
          <w:lang w:eastAsia="cs-CZ"/>
        </w:rPr>
        <w:t>Počítačové prostředky pro tvorbu posteru. Obsah posteru, jeho grafické rozvržení. Praktický nácvik tvorby posteru a jeho obhajoby v cizím jazyce.</w:t>
      </w:r>
      <w:r w:rsidR="005E4F30">
        <w:rPr>
          <w:rFonts w:ascii="Times New Roman" w:hAnsi="Times New Roman" w:cs="Times New Roman"/>
          <w:lang w:eastAsia="cs-CZ"/>
        </w:rPr>
        <w:t xml:space="preserve"> Společenské chování a vystupování v mezinárodním akademickém prostředí.</w:t>
      </w:r>
    </w:p>
    <w:p w:rsidR="00AD7425" w:rsidRDefault="00AD7425" w:rsidP="00646E0C">
      <w:pPr>
        <w:jc w:val="both"/>
        <w:rPr>
          <w:rFonts w:ascii="Times New Roman" w:hAnsi="Times New Roman" w:cs="Times New Roman"/>
          <w:lang w:eastAsia="cs-CZ"/>
        </w:rPr>
      </w:pPr>
    </w:p>
    <w:p w:rsidR="00646E0C" w:rsidRPr="00CE2DAD" w:rsidRDefault="00646E0C" w:rsidP="00646E0C">
      <w:pPr>
        <w:jc w:val="both"/>
        <w:rPr>
          <w:rFonts w:ascii="Times New Roman" w:hAnsi="Times New Roman" w:cs="Times New Roman"/>
          <w:lang w:eastAsia="cs-CZ"/>
        </w:rPr>
      </w:pPr>
      <w:r w:rsidRPr="00CE2DAD">
        <w:rPr>
          <w:rFonts w:ascii="Times New Roman" w:hAnsi="Times New Roman" w:cs="Times New Roman"/>
          <w:lang w:eastAsia="cs-CZ"/>
        </w:rPr>
        <w:t>Jako lektory využívá Sdružení výhradně kvalifikované učitele středních nebo vysokých škol, pracovníky Akademie věd, pracovníky z praxe, bývalé absolventy vlastních akcí. Podmínkou je vždy získ</w:t>
      </w:r>
      <w:r>
        <w:rPr>
          <w:rFonts w:ascii="Times New Roman" w:hAnsi="Times New Roman" w:cs="Times New Roman"/>
          <w:lang w:eastAsia="cs-CZ"/>
        </w:rPr>
        <w:t xml:space="preserve">ání vysokoškolského vzdělání </w:t>
      </w:r>
      <w:r w:rsidRPr="00CE2DAD">
        <w:rPr>
          <w:rFonts w:ascii="Times New Roman" w:hAnsi="Times New Roman" w:cs="Times New Roman"/>
          <w:lang w:eastAsia="cs-CZ"/>
        </w:rPr>
        <w:t>nebo praxe v daném oboru.</w:t>
      </w:r>
    </w:p>
    <w:p w:rsidR="00AD7425" w:rsidRDefault="00AD7425" w:rsidP="00AD7425">
      <w:pPr>
        <w:jc w:val="center"/>
        <w:rPr>
          <w:rFonts w:ascii="Times New Roman" w:hAnsi="Times New Roman" w:cs="Times New Roman"/>
          <w:smallCaps/>
          <w:sz w:val="60"/>
          <w:szCs w:val="60"/>
          <w:lang w:eastAsia="cs-CZ"/>
        </w:rPr>
      </w:pPr>
      <w:r w:rsidRPr="00AD7425">
        <w:rPr>
          <w:rFonts w:ascii="Times New Roman" w:hAnsi="Times New Roman" w:cs="Times New Roman"/>
          <w:smallCaps/>
          <w:sz w:val="60"/>
          <w:szCs w:val="60"/>
          <w:lang w:eastAsia="cs-CZ"/>
        </w:rPr>
        <w:t>Rozpočet a harmonogram</w:t>
      </w:r>
    </w:p>
    <w:tbl>
      <w:tblPr>
        <w:tblStyle w:val="Mkatabulky"/>
        <w:tblW w:w="0" w:type="auto"/>
        <w:tblLook w:val="04A0"/>
      </w:tblPr>
      <w:tblGrid>
        <w:gridCol w:w="2970"/>
        <w:gridCol w:w="2100"/>
        <w:gridCol w:w="1984"/>
        <w:gridCol w:w="3628"/>
      </w:tblGrid>
      <w:tr w:rsidR="008772D5" w:rsidRPr="004A66A5" w:rsidTr="008772D5">
        <w:tc>
          <w:tcPr>
            <w:tcW w:w="0" w:type="auto"/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00" w:type="dxa"/>
          </w:tcPr>
          <w:p w:rsidR="008772D5" w:rsidRPr="00853547" w:rsidRDefault="008772D5" w:rsidP="004A66A5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Letní soustředění vítězů SOČ II 2018</w:t>
            </w:r>
          </w:p>
        </w:tc>
        <w:tc>
          <w:tcPr>
            <w:tcW w:w="1984" w:type="dxa"/>
          </w:tcPr>
          <w:p w:rsidR="008772D5" w:rsidRPr="00853547" w:rsidRDefault="008772D5" w:rsidP="004A66A5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Letní škola SOČ 2018</w:t>
            </w:r>
          </w:p>
        </w:tc>
        <w:tc>
          <w:tcPr>
            <w:tcW w:w="3628" w:type="dxa"/>
          </w:tcPr>
          <w:p w:rsidR="008772D5" w:rsidRPr="00853547" w:rsidRDefault="008772D5" w:rsidP="004A66A5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Mezinárodní soutěže, příprava, prezentace a medializace výsledků</w:t>
            </w:r>
          </w:p>
        </w:tc>
      </w:tr>
      <w:tr w:rsidR="008772D5" w:rsidRPr="004A66A5" w:rsidTr="00853547">
        <w:tc>
          <w:tcPr>
            <w:tcW w:w="0" w:type="auto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 w:rsidRPr="004A66A5">
              <w:rPr>
                <w:rFonts w:ascii="Times New Roman" w:hAnsi="Times New Roman" w:cs="Times New Roman"/>
                <w:lang w:eastAsia="cs-CZ"/>
              </w:rPr>
              <w:t>Předpoklád</w:t>
            </w:r>
            <w:r>
              <w:rPr>
                <w:rFonts w:ascii="Times New Roman" w:hAnsi="Times New Roman" w:cs="Times New Roman"/>
                <w:lang w:eastAsia="cs-CZ"/>
              </w:rPr>
              <w:t>a</w:t>
            </w:r>
            <w:r w:rsidRPr="004A66A5">
              <w:rPr>
                <w:rFonts w:ascii="Times New Roman" w:hAnsi="Times New Roman" w:cs="Times New Roman"/>
                <w:lang w:eastAsia="cs-CZ"/>
              </w:rPr>
              <w:t>ný počet účastníků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40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60</w:t>
            </w:r>
          </w:p>
        </w:tc>
      </w:tr>
      <w:tr w:rsidR="008772D5" w:rsidRPr="004A66A5" w:rsidTr="00853547">
        <w:tc>
          <w:tcPr>
            <w:tcW w:w="0" w:type="auto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 w:rsidRPr="004A66A5">
              <w:rPr>
                <w:rFonts w:ascii="Times New Roman" w:hAnsi="Times New Roman" w:cs="Times New Roman"/>
                <w:lang w:eastAsia="cs-CZ"/>
              </w:rPr>
              <w:t>Termín konání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17. - 21. 9. 2018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19. - 21. 9. 2018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7. - 9. 11. 2018</w:t>
            </w:r>
          </w:p>
        </w:tc>
      </w:tr>
      <w:tr w:rsidR="008772D5" w:rsidRPr="004A66A5" w:rsidTr="0085354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2D5" w:rsidRPr="004A66A5" w:rsidRDefault="008772D5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53547" w:rsidRPr="004A66A5" w:rsidTr="00853547">
        <w:tc>
          <w:tcPr>
            <w:tcW w:w="0" w:type="auto"/>
            <w:tcBorders>
              <w:top w:val="single" w:sz="4" w:space="0" w:color="auto"/>
            </w:tcBorders>
          </w:tcPr>
          <w:p w:rsidR="00853547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853547" w:rsidRPr="00853547" w:rsidRDefault="00853547" w:rsidP="00027454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Letní soustředění vítězů SOČ II 2018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3547" w:rsidRPr="00853547" w:rsidRDefault="00853547" w:rsidP="00027454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Letní škola SOČ 2018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53547" w:rsidRPr="00853547" w:rsidRDefault="00853547" w:rsidP="00027454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853547">
              <w:rPr>
                <w:rFonts w:ascii="Times New Roman" w:hAnsi="Times New Roman" w:cs="Times New Roman"/>
                <w:b/>
                <w:lang w:eastAsia="cs-CZ"/>
              </w:rPr>
              <w:t>Mezinárodní soutěže, příprava, prezentace a medializace výsledků</w:t>
            </w:r>
          </w:p>
        </w:tc>
      </w:tr>
      <w:tr w:rsidR="00853547" w:rsidRPr="004A66A5" w:rsidTr="00853547">
        <w:tc>
          <w:tcPr>
            <w:tcW w:w="0" w:type="auto"/>
            <w:tcBorders>
              <w:top w:val="single" w:sz="4" w:space="0" w:color="auto"/>
            </w:tcBorders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Ubytování účastníků, lektorů a organizátorů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</w:t>
            </w:r>
            <w:r w:rsidR="00F53855">
              <w:rPr>
                <w:rFonts w:ascii="Times New Roman" w:hAnsi="Times New Roman" w:cs="Times New Roman"/>
                <w:lang w:eastAsia="cs-CZ"/>
              </w:rPr>
              <w:t>2 0</w:t>
            </w:r>
            <w:r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21 0</w:t>
            </w:r>
            <w:r w:rsidR="00853547"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30 0</w:t>
            </w:r>
            <w:r w:rsidR="00853547"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Stravování účastníků, lektorů a organizátorů</w:t>
            </w:r>
          </w:p>
        </w:tc>
        <w:tc>
          <w:tcPr>
            <w:tcW w:w="2100" w:type="dxa"/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</w:t>
            </w:r>
            <w:r w:rsidR="00F53855">
              <w:rPr>
                <w:rFonts w:ascii="Times New Roman" w:hAnsi="Times New Roman" w:cs="Times New Roman"/>
                <w:lang w:eastAsia="cs-CZ"/>
              </w:rPr>
              <w:t>2</w:t>
            </w:r>
            <w:r w:rsidR="00372D9E">
              <w:rPr>
                <w:rFonts w:ascii="Times New Roman" w:hAnsi="Times New Roman" w:cs="Times New Roman"/>
                <w:lang w:eastAsia="cs-CZ"/>
              </w:rPr>
              <w:t xml:space="preserve"> 0</w:t>
            </w:r>
            <w:r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  <w:tc>
          <w:tcPr>
            <w:tcW w:w="1984" w:type="dxa"/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</w:t>
            </w:r>
            <w:r w:rsidR="00F53855">
              <w:rPr>
                <w:rFonts w:ascii="Times New Roman" w:hAnsi="Times New Roman" w:cs="Times New Roman"/>
                <w:lang w:eastAsia="cs-CZ"/>
              </w:rPr>
              <w:t>3</w:t>
            </w:r>
            <w:r>
              <w:rPr>
                <w:rFonts w:ascii="Times New Roman" w:hAnsi="Times New Roman" w:cs="Times New Roman"/>
                <w:lang w:eastAsia="cs-CZ"/>
              </w:rPr>
              <w:t> 000 Kč</w:t>
            </w:r>
          </w:p>
        </w:tc>
        <w:tc>
          <w:tcPr>
            <w:tcW w:w="3628" w:type="dxa"/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</w:t>
            </w:r>
            <w:r w:rsidR="00F53855">
              <w:rPr>
                <w:rFonts w:ascii="Times New Roman" w:hAnsi="Times New Roman" w:cs="Times New Roman"/>
                <w:lang w:eastAsia="cs-CZ"/>
              </w:rPr>
              <w:t>5</w:t>
            </w:r>
            <w:r>
              <w:rPr>
                <w:rFonts w:ascii="Times New Roman" w:hAnsi="Times New Roman" w:cs="Times New Roman"/>
                <w:lang w:eastAsia="cs-CZ"/>
              </w:rPr>
              <w:t xml:space="preserve"> 000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Pronájem učeben</w:t>
            </w:r>
          </w:p>
        </w:tc>
        <w:tc>
          <w:tcPr>
            <w:tcW w:w="2100" w:type="dxa"/>
          </w:tcPr>
          <w:p w:rsidR="00853547" w:rsidRPr="004A66A5" w:rsidRDefault="00F53855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23</w:t>
            </w:r>
            <w:r w:rsidR="00853547">
              <w:rPr>
                <w:rFonts w:ascii="Times New Roman" w:hAnsi="Times New Roman" w:cs="Times New Roman"/>
                <w:lang w:eastAsia="cs-CZ"/>
              </w:rPr>
              <w:t> </w:t>
            </w:r>
            <w:r>
              <w:rPr>
                <w:rFonts w:ascii="Times New Roman" w:hAnsi="Times New Roman" w:cs="Times New Roman"/>
                <w:lang w:eastAsia="cs-CZ"/>
              </w:rPr>
              <w:t>0</w:t>
            </w:r>
            <w:r w:rsidR="00853547"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  <w:tc>
          <w:tcPr>
            <w:tcW w:w="1984" w:type="dxa"/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1</w:t>
            </w:r>
            <w:r w:rsidR="00F53855">
              <w:rPr>
                <w:rFonts w:ascii="Times New Roman" w:hAnsi="Times New Roman" w:cs="Times New Roman"/>
                <w:lang w:eastAsia="cs-CZ"/>
              </w:rPr>
              <w:t>3</w:t>
            </w:r>
            <w:r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F53855">
              <w:rPr>
                <w:rFonts w:ascii="Times New Roman" w:hAnsi="Times New Roman" w:cs="Times New Roman"/>
                <w:lang w:eastAsia="cs-CZ"/>
              </w:rPr>
              <w:t>00</w:t>
            </w:r>
            <w:r>
              <w:rPr>
                <w:rFonts w:ascii="Times New Roman" w:hAnsi="Times New Roman" w:cs="Times New Roman"/>
                <w:lang w:eastAsia="cs-CZ"/>
              </w:rPr>
              <w:t>0 Kč</w:t>
            </w:r>
          </w:p>
        </w:tc>
        <w:tc>
          <w:tcPr>
            <w:tcW w:w="3628" w:type="dxa"/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20 000</w:t>
            </w:r>
            <w:r w:rsidR="00853547">
              <w:rPr>
                <w:rFonts w:ascii="Times New Roman" w:hAnsi="Times New Roman" w:cs="Times New Roman"/>
                <w:lang w:eastAsia="cs-CZ"/>
              </w:rPr>
              <w:t xml:space="preserve">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Výuka (</w:t>
            </w:r>
            <w:proofErr w:type="spellStart"/>
            <w:r>
              <w:rPr>
                <w:rFonts w:ascii="Times New Roman" w:hAnsi="Times New Roman" w:cs="Times New Roman"/>
                <w:lang w:eastAsia="cs-CZ"/>
              </w:rPr>
              <w:t>lektorné</w:t>
            </w:r>
            <w:proofErr w:type="spellEnd"/>
            <w:r>
              <w:rPr>
                <w:rFonts w:ascii="Times New Roman" w:hAnsi="Times New Roman" w:cs="Times New Roman"/>
                <w:lang w:eastAsia="cs-CZ"/>
              </w:rPr>
              <w:t>)</w:t>
            </w:r>
          </w:p>
        </w:tc>
        <w:tc>
          <w:tcPr>
            <w:tcW w:w="2100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48 000 Kč</w:t>
            </w:r>
          </w:p>
        </w:tc>
        <w:tc>
          <w:tcPr>
            <w:tcW w:w="1984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24 000 Kč</w:t>
            </w:r>
          </w:p>
        </w:tc>
        <w:tc>
          <w:tcPr>
            <w:tcW w:w="3628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36 000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Organizační zajištění, pedagogický dozor</w:t>
            </w:r>
          </w:p>
        </w:tc>
        <w:tc>
          <w:tcPr>
            <w:tcW w:w="2100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49 000 Kč</w:t>
            </w:r>
          </w:p>
        </w:tc>
        <w:tc>
          <w:tcPr>
            <w:tcW w:w="1984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25 000 Kč</w:t>
            </w:r>
          </w:p>
        </w:tc>
        <w:tc>
          <w:tcPr>
            <w:tcW w:w="3628" w:type="dxa"/>
          </w:tcPr>
          <w:p w:rsidR="00853547" w:rsidRPr="004A66A5" w:rsidRDefault="00853547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37 500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Drobné náklady (studijní materiály, tisk, režie)</w:t>
            </w:r>
          </w:p>
        </w:tc>
        <w:tc>
          <w:tcPr>
            <w:tcW w:w="2100" w:type="dxa"/>
          </w:tcPr>
          <w:p w:rsidR="00853547" w:rsidRPr="004A66A5" w:rsidRDefault="00F53855" w:rsidP="00372D9E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54</w:t>
            </w:r>
            <w:r w:rsidR="00853547">
              <w:rPr>
                <w:rFonts w:ascii="Times New Roman" w:hAnsi="Times New Roman" w:cs="Times New Roman"/>
                <w:lang w:eastAsia="cs-CZ"/>
              </w:rPr>
              <w:t> 000 Kč</w:t>
            </w:r>
          </w:p>
        </w:tc>
        <w:tc>
          <w:tcPr>
            <w:tcW w:w="1984" w:type="dxa"/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31</w:t>
            </w:r>
            <w:r w:rsidR="00853547">
              <w:rPr>
                <w:rFonts w:ascii="Times New Roman" w:hAnsi="Times New Roman" w:cs="Times New Roman"/>
                <w:lang w:eastAsia="cs-CZ"/>
              </w:rPr>
              <w:t xml:space="preserve"> 000 Kč</w:t>
            </w:r>
          </w:p>
        </w:tc>
        <w:tc>
          <w:tcPr>
            <w:tcW w:w="3628" w:type="dxa"/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44</w:t>
            </w:r>
            <w:r w:rsidR="00853547">
              <w:rPr>
                <w:rFonts w:ascii="Times New Roman" w:hAnsi="Times New Roman" w:cs="Times New Roman"/>
                <w:lang w:eastAsia="cs-CZ"/>
              </w:rPr>
              <w:t xml:space="preserve"> 000 Kč</w:t>
            </w:r>
          </w:p>
        </w:tc>
      </w:tr>
      <w:tr w:rsidR="00853547" w:rsidRPr="004A66A5" w:rsidTr="008772D5">
        <w:tc>
          <w:tcPr>
            <w:tcW w:w="0" w:type="auto"/>
          </w:tcPr>
          <w:p w:rsidR="00853547" w:rsidRPr="004A66A5" w:rsidRDefault="00853547" w:rsidP="004A66A5">
            <w:pPr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CELKEM</w:t>
            </w:r>
          </w:p>
        </w:tc>
        <w:tc>
          <w:tcPr>
            <w:tcW w:w="2100" w:type="dxa"/>
          </w:tcPr>
          <w:p w:rsidR="00853547" w:rsidRPr="004A66A5" w:rsidRDefault="00853547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</w:t>
            </w:r>
            <w:r w:rsidR="00F53855">
              <w:rPr>
                <w:rFonts w:ascii="Times New Roman" w:hAnsi="Times New Roman" w:cs="Times New Roman"/>
                <w:lang w:eastAsia="cs-CZ"/>
              </w:rPr>
              <w:t>58</w:t>
            </w:r>
            <w:r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F53855">
              <w:rPr>
                <w:rFonts w:ascii="Times New Roman" w:hAnsi="Times New Roman" w:cs="Times New Roman"/>
                <w:lang w:eastAsia="cs-CZ"/>
              </w:rPr>
              <w:t>0</w:t>
            </w:r>
            <w:r>
              <w:rPr>
                <w:rFonts w:ascii="Times New Roman" w:hAnsi="Times New Roman" w:cs="Times New Roman"/>
                <w:lang w:eastAsia="cs-CZ"/>
              </w:rPr>
              <w:t>00 Kč</w:t>
            </w:r>
          </w:p>
        </w:tc>
        <w:tc>
          <w:tcPr>
            <w:tcW w:w="1984" w:type="dxa"/>
          </w:tcPr>
          <w:p w:rsidR="00853547" w:rsidRPr="004A66A5" w:rsidRDefault="00F53855" w:rsidP="00F5385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131 000</w:t>
            </w:r>
            <w:r w:rsidR="00853547">
              <w:rPr>
                <w:rFonts w:ascii="Times New Roman" w:hAnsi="Times New Roman" w:cs="Times New Roman"/>
                <w:lang w:eastAsia="cs-CZ"/>
              </w:rPr>
              <w:t xml:space="preserve"> Kč</w:t>
            </w:r>
          </w:p>
        </w:tc>
        <w:tc>
          <w:tcPr>
            <w:tcW w:w="3628" w:type="dxa"/>
          </w:tcPr>
          <w:p w:rsidR="00853547" w:rsidRPr="004A66A5" w:rsidRDefault="00F53855" w:rsidP="008772D5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202 500</w:t>
            </w:r>
            <w:r w:rsidR="00853547">
              <w:rPr>
                <w:rFonts w:ascii="Times New Roman" w:hAnsi="Times New Roman" w:cs="Times New Roman"/>
                <w:lang w:eastAsia="cs-CZ"/>
              </w:rPr>
              <w:t xml:space="preserve"> Kč</w:t>
            </w:r>
          </w:p>
        </w:tc>
      </w:tr>
    </w:tbl>
    <w:p w:rsidR="004A66A5" w:rsidRPr="004A66A5" w:rsidRDefault="004A66A5" w:rsidP="004A66A5">
      <w:pPr>
        <w:rPr>
          <w:rFonts w:ascii="Times New Roman" w:hAnsi="Times New Roman" w:cs="Times New Roman"/>
          <w:smallCaps/>
          <w:lang w:eastAsia="cs-CZ"/>
        </w:rPr>
      </w:pPr>
    </w:p>
    <w:p w:rsidR="00EA5319" w:rsidRDefault="008772D5" w:rsidP="008772D5">
      <w:pPr>
        <w:spacing w:after="0"/>
      </w:pPr>
      <w:r>
        <w:t xml:space="preserve">Celkové roční náklady činí </w:t>
      </w:r>
      <w:r w:rsidR="00F53855">
        <w:t>597</w:t>
      </w:r>
      <w:r>
        <w:t> 500 Kč.</w:t>
      </w:r>
    </w:p>
    <w:p w:rsidR="008772D5" w:rsidRDefault="00F53855" w:rsidP="008772D5">
      <w:pPr>
        <w:spacing w:after="0"/>
      </w:pPr>
      <w:r>
        <w:t>Z toho c</w:t>
      </w:r>
      <w:r w:rsidR="008772D5">
        <w:t>elkové roční náklady na zajištění provozu Sdružení činí 60 000 Kč.</w:t>
      </w:r>
    </w:p>
    <w:p w:rsidR="00F53855" w:rsidRDefault="00F53855" w:rsidP="00EA5319"/>
    <w:p w:rsidR="008772D5" w:rsidRDefault="008772D5" w:rsidP="00EA5319">
      <w:r>
        <w:t>Projekt bude financován z dotací a grantů (krajské úřady, Ministerstvo školství, mládeže a tělovýchovy ČR) a sponzorských darů.</w:t>
      </w:r>
    </w:p>
    <w:sectPr w:rsidR="008772D5" w:rsidSect="004A6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5319"/>
    <w:rsid w:val="00056088"/>
    <w:rsid w:val="001B2773"/>
    <w:rsid w:val="001E73BD"/>
    <w:rsid w:val="00280CF2"/>
    <w:rsid w:val="002F09EB"/>
    <w:rsid w:val="0033012D"/>
    <w:rsid w:val="00372D9E"/>
    <w:rsid w:val="00413344"/>
    <w:rsid w:val="004A66A5"/>
    <w:rsid w:val="00592967"/>
    <w:rsid w:val="005E4F30"/>
    <w:rsid w:val="00646E0C"/>
    <w:rsid w:val="00670B13"/>
    <w:rsid w:val="006906CB"/>
    <w:rsid w:val="00746335"/>
    <w:rsid w:val="00853547"/>
    <w:rsid w:val="00864BAB"/>
    <w:rsid w:val="008772D5"/>
    <w:rsid w:val="00AD7425"/>
    <w:rsid w:val="00AE1EE1"/>
    <w:rsid w:val="00D3220E"/>
    <w:rsid w:val="00EA5319"/>
    <w:rsid w:val="00EE303C"/>
    <w:rsid w:val="00F52BF9"/>
    <w:rsid w:val="00F53855"/>
    <w:rsid w:val="00FE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967"/>
  </w:style>
  <w:style w:type="paragraph" w:styleId="Nadpis1">
    <w:name w:val="heading 1"/>
    <w:basedOn w:val="Normln"/>
    <w:next w:val="Normln"/>
    <w:link w:val="Nadpis1Char"/>
    <w:uiPriority w:val="9"/>
    <w:qFormat/>
    <w:rsid w:val="00EA53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6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1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A53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6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4A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1557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7</cp:revision>
  <dcterms:created xsi:type="dcterms:W3CDTF">2017-10-01T20:40:00Z</dcterms:created>
  <dcterms:modified xsi:type="dcterms:W3CDTF">2018-01-17T16:42:00Z</dcterms:modified>
</cp:coreProperties>
</file>